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p>
    <w:p>
      <w:pPr>
        <w:spacing w:after="120"/>
      </w:pPr>
    </w:p>
    <w:p>
      <w:pPr>
        <w:spacing w:after="120"/>
      </w:pPr>
    </w:p>
    <w:p>
      <w:pPr>
        <w:spacing w:after="120"/>
      </w:pPr>
    </w:p>
    <w:p>
      <w:pPr>
        <w:spacing w:after="120"/>
      </w:pPr>
    </w:p>
    <w:p>
      <w:pPr>
        <w:spacing w:after="400"/>
        <w:jc w:val="center"/>
      </w:pPr>
      <w:r>
        <w:rPr>
          <w:rFonts w:ascii="Calibri" w:cs="Calibri" w:eastAsia="Calibri" w:hAnsi="Calibri"/>
          <w:b/>
          <w:bCs/>
          <w:color w:val="5B5CFF"/>
          <w:sz w:val="56"/>
          <w:szCs w:val="56"/>
        </w:rPr>
        <w:t xml:space="preserve">HiCellTek</w:t>
      </w:r>
    </w:p>
    <w:p>
      <w:pPr>
        <w:spacing w:after="100"/>
        <w:jc w:val="center"/>
      </w:pPr>
      <w:r>
        <w:rPr>
          <w:rFonts w:ascii="Calibri" w:cs="Calibri" w:eastAsia="Calibri" w:hAnsi="Calibri"/>
          <w:color w:val="666666"/>
          <w:sz w:val="22"/>
          <w:szCs w:val="22"/>
        </w:rPr>
        <w:t xml:space="preserve">Intelligence Télécom | Drive Test &amp; Analyse Protocolaire</w:t>
      </w:r>
    </w:p>
    <w:p>
      <w:pPr>
        <w:spacing w:after="120"/>
      </w:pPr>
    </w:p>
    <w:p>
      <w:pPr>
        <w:spacing w:after="120"/>
      </w:pPr>
    </w:p>
    <w:p>
      <w:pPr>
        <w:pBdr>
          <w:bottom w:val="single" w:color="5B5CFF" w:sz="6" w:space="8"/>
        </w:pBdr>
        <w:spacing w:after="200"/>
        <w:jc w:val="center"/>
      </w:pPr>
    </w:p>
    <w:p>
      <w:pPr>
        <w:spacing w:after="120"/>
      </w:pPr>
    </w:p>
    <w:p>
      <w:pPr>
        <w:spacing w:after="300"/>
        <w:jc w:val="center"/>
      </w:pPr>
      <w:r>
        <w:rPr>
          <w:rFonts w:ascii="Calibri" w:cs="Calibri" w:eastAsia="Calibri" w:hAnsi="Calibri"/>
          <w:b/>
          <w:bCs/>
          <w:color w:val="1A1A2E"/>
          <w:sz w:val="48"/>
          <w:szCs w:val="48"/>
        </w:rPr>
        <w:t xml:space="preserve">QoS Compliance Guide</w:t>
      </w:r>
    </w:p>
    <w:p>
      <w:pPr>
        <w:spacing w:after="200"/>
        <w:jc w:val="center"/>
      </w:pPr>
      <w:r>
        <w:rPr>
          <w:rFonts w:ascii="Calibri" w:cs="Calibri" w:eastAsia="Calibri" w:hAnsi="Calibri"/>
          <w:b/>
          <w:bCs/>
          <w:color w:val="5B5CFF"/>
          <w:sz w:val="40"/>
          <w:szCs w:val="40"/>
        </w:rPr>
        <w:t xml:space="preserve">for African Telecom Operators</w:t>
      </w:r>
    </w:p>
    <w:p>
      <w:pPr>
        <w:spacing w:after="120"/>
      </w:pPr>
    </w:p>
    <w:p>
      <w:pPr>
        <w:spacing w:after="200"/>
        <w:jc w:val="center"/>
      </w:pPr>
      <w:r>
        <w:rPr>
          <w:rFonts w:ascii="Calibri" w:cs="Calibri" w:eastAsia="Calibri" w:hAnsi="Calibri"/>
          <w:color w:val="666666"/>
          <w:sz w:val="28"/>
          <w:szCs w:val="28"/>
        </w:rPr>
        <w:t xml:space="preserve">Kenya CA &amp; Ghana NCA (2026)</w:t>
      </w:r>
    </w:p>
    <w:p>
      <w:pPr>
        <w:spacing w:after="100"/>
        <w:jc w:val="center"/>
      </w:pPr>
      <w:r>
        <w:rPr>
          <w:rFonts w:ascii="Calibri" w:cs="Calibri" w:eastAsia="Calibri" w:hAnsi="Calibri"/>
          <w:i/>
          <w:iCs/>
          <w:color w:val="888888"/>
          <w:sz w:val="22"/>
          <w:szCs w:val="22"/>
        </w:rPr>
        <w:t xml:space="preserve">Mapping regulatory KPIs to field measurement methods</w:t>
      </w:r>
    </w:p>
    <w:p>
      <w:pPr>
        <w:spacing w:after="120"/>
      </w:pPr>
    </w:p>
    <w:p>
      <w:pPr>
        <w:spacing w:after="120"/>
      </w:pPr>
    </w:p>
    <w:p>
      <w:pPr>
        <w:spacing w:after="120"/>
      </w:pPr>
    </w:p>
    <w:p>
      <w:pPr>
        <w:spacing w:after="120"/>
      </w:pPr>
    </w:p>
    <w:p>
      <w:pPr>
        <w:spacing w:after="120"/>
      </w:pPr>
    </w:p>
    <w:p>
      <w:pPr>
        <w:jc w:val="center"/>
      </w:pPr>
      <w:r>
        <w:rPr>
          <w:rFonts w:ascii="Calibri" w:cs="Calibri" w:eastAsia="Calibri" w:hAnsi="Calibri"/>
          <w:color w:val="888888"/>
          <w:sz w:val="22"/>
          <w:szCs w:val="22"/>
        </w:rPr>
        <w:t xml:space="preserve">March 2026</w:t>
      </w:r>
    </w:p>
    <w:p>
      <w:pPr>
        <w:spacing w:after="100"/>
        <w:jc w:val="center"/>
      </w:pPr>
      <w:r>
        <w:rPr>
          <w:rFonts w:ascii="Calibri" w:cs="Calibri" w:eastAsia="Calibri" w:hAnsi="Calibri"/>
          <w:color w:val="5B5CFF"/>
          <w:sz w:val="20"/>
          <w:szCs w:val="20"/>
        </w:rPr>
        <w:t xml:space="preserve">hicelltek.com | sales@hicelltek.com</w:t>
      </w:r>
    </w:p>
    <w:p>
      <w:pPr>
        <w:sectPr>
          <w:pgSz w:w="12240" w:h="15840" w:orient="portrait"/>
          <w:pgMar w:top="1440" w:right="1440" w:bottom="1440" w:left="1440" w:header="708" w:footer="708" w:gutter="0"/>
          <w:pgNumType/>
          <w:docGrid w:linePitch="360"/>
        </w:sectPr>
      </w:pPr>
    </w:p>
    <w:p>
      <w:pPr>
        <w:pStyle w:val="Heading1"/>
      </w:pPr>
      <w:r>
        <w:t xml:space="preserve">Table of Contents</w:t>
      </w:r>
    </w:p>
    <w:sdt>
      <w:sdtPr>
        <w:alias w:val="Table of Contents"/>
      </w:sdtPr>
      <w:sdtContent>
        <w:p>
          <w:r>
            <w:fldChar w:fldCharType="begin" w:dirty="true"/>
            <w:instrText xml:space="preserve">TOC \h \o "1-2"</w:instrText>
            <w:fldChar w:fldCharType="separate"/>
          </w:r>
        </w:p>
        <w:p>
          <w:r>
            <w:fldChar w:fldCharType="end"/>
          </w:r>
        </w:p>
      </w:sdtContent>
    </w:sdt>
    <w:p>
      <w:r>
        <w:br w:type="page"/>
      </w:r>
    </w:p>
    <w:p>
      <w:pPr>
        <w:pStyle w:val="Heading1"/>
      </w:pPr>
      <w:r>
        <w:t xml:space="preserve">Introduction</w:t>
      </w:r>
    </w:p>
    <w:p>
      <w:pPr>
        <w:spacing w:after="200"/>
      </w:pPr>
      <w:r>
        <w:rPr>
          <w:rFonts w:ascii="Calibri" w:cs="Calibri" w:eastAsia="Calibri" w:hAnsi="Calibri"/>
          <w:color w:val="1A1A2E"/>
          <w:sz w:val="22"/>
          <w:szCs w:val="22"/>
        </w:rPr>
        <w:t xml:space="preserve">In early 2026, two of Africa’s most significant telecom regulators simultaneously tightened their Quality of Service (QoS) requirements for mobile network operators.</w:t>
      </w:r>
    </w:p>
    <w:p>
      <w:pPr>
        <w:spacing w:after="200"/>
      </w:pPr>
      <w:r>
        <w:rPr>
          <w:rFonts w:ascii="Calibri" w:cs="Calibri" w:eastAsia="Calibri" w:hAnsi="Calibri"/>
          <w:color w:val="1A1A2E"/>
          <w:sz w:val="22"/>
          <w:szCs w:val="22"/>
        </w:rPr>
        <w:t xml:space="preserve">The Communications Authority of Kenya (CA) published an expanded QoS framework in January 2026, increasing the number of mandatory KPIs from 21 to 38 and introducing VoLTE and 5G NR voice quality metrics for the first time. Non-compliance penalties reach up to 0.2% of annual gross revenue.</w:t>
      </w:r>
    </w:p>
    <w:p>
      <w:pPr>
        <w:spacing w:after="200"/>
      </w:pPr>
      <w:r>
        <w:rPr>
          <w:rFonts w:ascii="Calibri" w:cs="Calibri" w:eastAsia="Calibri" w:hAnsi="Calibri"/>
          <w:color w:val="1A1A2E"/>
          <w:sz w:val="22"/>
          <w:szCs w:val="22"/>
        </w:rPr>
        <w:t xml:space="preserve">The National Communications Authority of Ghana (NCA) followed in February 2026 with its first major QoS regulatory update since 2004, reducing the acceptable Call Drop Rate from 3% to less than 1%, raising the Call Completion Success Rate floor to 95%, and imposing a legal obligation to cover all district capitals.</w:t>
      </w:r>
    </w:p>
    <w:p>
      <w:pPr>
        <w:spacing w:after="200"/>
      </w:pPr>
      <w:r>
        <w:rPr>
          <w:rFonts w:ascii="Calibri" w:cs="Calibri" w:eastAsia="Calibri" w:hAnsi="Calibri"/>
          <w:color w:val="1A1A2E"/>
          <w:sz w:val="22"/>
          <w:szCs w:val="22"/>
        </w:rPr>
        <w:t xml:space="preserve">Both regulators now require quarterly compliance reports backed by field measurement evidence — not just network management system (NMS) dashboards. This guide maps every regulatory KPI to practical field measurement methods using HiCellTek’s Android-based diagnostic suite.</w:t>
      </w:r>
    </w:p>
    <w:p>
      <w:r>
        <w:br w:type="page"/>
      </w:r>
    </w:p>
    <w:p>
      <w:pPr>
        <w:pStyle w:val="Heading1"/>
      </w:pPr>
      <w:r>
        <w:t xml:space="preserve">Kenya CA — 38 KPIs Overview</w:t>
      </w:r>
    </w:p>
    <w:p>
      <w:pPr>
        <w:spacing w:after="200"/>
      </w:pPr>
      <w:r>
        <w:rPr>
          <w:rFonts w:ascii="Calibri" w:cs="Calibri" w:eastAsia="Calibri" w:hAnsi="Calibri"/>
          <w:color w:val="1A1A2E"/>
          <w:sz w:val="22"/>
          <w:szCs w:val="22"/>
        </w:rPr>
        <w:t xml:space="preserve">The Kenya CA’s January 2026 framework organizes 38 mandatory KPIs across five categories: Coverage &amp; Accessibility (8), Voice Quality (9), Data Performance (7), Network Availability (6), and Customer Experience (8).</w:t>
      </w:r>
    </w:p>
    <w:p>
      <w:pPr>
        <w:spacing w:after="200"/>
      </w:pPr>
      <w:r>
        <w:rPr>
          <w:rFonts w:ascii="Calibri" w:cs="Calibri" w:eastAsia="Calibri" w:hAnsi="Calibri"/>
          <w:color w:val="1A1A2E"/>
          <w:sz w:val="22"/>
          <w:szCs w:val="22"/>
        </w:rPr>
        <w:t xml:space="preserve">The table below lists each KPI with its regulatory threshold and the recommended HiCellTek module for field measurement.</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gridCol w:w="2200"/>
        <w:gridCol w:w="2760"/>
      </w:tblGrid>
      <w:tr>
        <w:tc>
          <w:tcPr>
            <w:tcW w:type="dxa" w:w="2000"/>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left"/>
            </w:pPr>
            <w:r>
              <w:rPr>
                <w:rFonts w:ascii="Calibri" w:cs="Calibri" w:eastAsia="Calibri" w:hAnsi="Calibri"/>
                <w:b/>
                <w:bCs/>
                <w:color w:val="FFFFFF"/>
                <w:sz w:val="20"/>
                <w:szCs w:val="20"/>
              </w:rPr>
              <w:t xml:space="preserve">Category</w:t>
            </w:r>
          </w:p>
        </w:tc>
        <w:tc>
          <w:tcPr>
            <w:tcW w:type="dxa" w:w="2400"/>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left"/>
            </w:pPr>
            <w:r>
              <w:rPr>
                <w:rFonts w:ascii="Calibri" w:cs="Calibri" w:eastAsia="Calibri" w:hAnsi="Calibri"/>
                <w:b/>
                <w:bCs/>
                <w:color w:val="FFFFFF"/>
                <w:sz w:val="20"/>
                <w:szCs w:val="20"/>
              </w:rPr>
              <w:t xml:space="preserve">KPI</w:t>
            </w:r>
          </w:p>
        </w:tc>
        <w:tc>
          <w:tcPr>
            <w:tcW w:type="dxa" w:w="2200"/>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left"/>
            </w:pPr>
            <w:r>
              <w:rPr>
                <w:rFonts w:ascii="Calibri" w:cs="Calibri" w:eastAsia="Calibri" w:hAnsi="Calibri"/>
                <w:b/>
                <w:bCs/>
                <w:color w:val="FFFFFF"/>
                <w:sz w:val="20"/>
                <w:szCs w:val="20"/>
              </w:rPr>
              <w:t xml:space="preserve">Threshold</w:t>
            </w:r>
          </w:p>
        </w:tc>
        <w:tc>
          <w:tcPr>
            <w:tcW w:type="dxa" w:w="2760"/>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left"/>
            </w:pPr>
            <w:r>
              <w:rPr>
                <w:rFonts w:ascii="Calibri" w:cs="Calibri" w:eastAsia="Calibri" w:hAnsi="Calibri"/>
                <w:b/>
                <w:bCs/>
                <w:color w:val="FFFFFF"/>
                <w:sz w:val="20"/>
                <w:szCs w:val="20"/>
              </w:rPr>
              <w:t xml:space="preserve">Measurement Tool</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Coverage &amp; Accessibility</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RSRP (LTE)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 -110 dBm (urban)</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RF Monitor / Drive Test</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Coverage &amp; Accessibility</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RSRP (5G NR)</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 -105 dBm (urban)</w:t>
            </w:r>
          </w:p>
        </w:tc>
        <w:tc>
          <w:tcPr>
            <w:tcW w:type="dxa" w:w="2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RF Monitor / Drive Test</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Coverage &amp; Accessibility</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RSRQ (LTE)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 -15 dB</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RF Monitor</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Coverage &amp; Accessibility</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SINR (LTE)</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 0 dB</w:t>
            </w:r>
          </w:p>
        </w:tc>
        <w:tc>
          <w:tcPr>
            <w:tcW w:type="dxa" w:w="2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RF Monitor</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Coverage &amp; Accessibility</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Geographic Coverage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 95% urban areas</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Drive Test + Cartography</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Coverage &amp; Accessibility</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Population Coverage</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 90% national</w:t>
            </w:r>
          </w:p>
        </w:tc>
        <w:tc>
          <w:tcPr>
            <w:tcW w:type="dxa" w:w="2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Drive Test + Cartography</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Coverage &amp; Accessibility</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Indoor Coverage (key buildings)</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RSRP ≥ -100 dBm</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Indoor Walk Test</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Coverage &amp; Accessibility</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Network Availability</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 99.5%</w:t>
            </w:r>
          </w:p>
        </w:tc>
        <w:tc>
          <w:tcPr>
            <w:tcW w:type="dxa" w:w="2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RF Monitor</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Voice Quality</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Call Setup Success Rate (CS)</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 98%</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VoLTE QoE / L3 Decoder</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Voice Quality</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Call Setup Success Rate (VoLTE)</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 97%</w:t>
            </w:r>
          </w:p>
        </w:tc>
        <w:tc>
          <w:tcPr>
            <w:tcW w:type="dxa" w:w="2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VoLTE QoE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Voice Quality</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Call Drop Rate (CS)</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 1%</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VoLTE QoE / L3 Decoder</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Voice Quality</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Call Drop Rate (VoLTE)</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 1%</w:t>
            </w:r>
          </w:p>
        </w:tc>
        <w:tc>
          <w:tcPr>
            <w:tcW w:type="dxa" w:w="2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VoLTE QoE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Voice Quality</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MOS (VoLTE)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 3.5</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VoLTE QoE</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Voice Quality</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MOS (VoNR)</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 3.5</w:t>
            </w:r>
          </w:p>
        </w:tc>
        <w:tc>
          <w:tcPr>
            <w:tcW w:type="dxa" w:w="2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VoLTE QoE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Voice Quality</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Call Setup Time (VoLTE)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 5 seconds</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VoLTE QoE / L3 Decoder</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Voice Quality</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Handover Success Rate</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 98%</w:t>
            </w:r>
          </w:p>
        </w:tc>
        <w:tc>
          <w:tcPr>
            <w:tcW w:type="dxa" w:w="2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L3 Decoder</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Voice Quality</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SRVCC Success Rate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 95%</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L3 Decoder</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Data Performance</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DL Throughput (LTE urban)</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 10 Mbps</w:t>
            </w:r>
          </w:p>
        </w:tc>
        <w:tc>
          <w:tcPr>
            <w:tcW w:type="dxa" w:w="2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Speed Test</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Data Performance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DL Throughput (5G urban)</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 100 Mbps</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Speed Test</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Data Performance</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UL Throughput (LTE)</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 3 Mbps</w:t>
            </w:r>
          </w:p>
        </w:tc>
        <w:tc>
          <w:tcPr>
            <w:tcW w:type="dxa" w:w="2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Speed Test</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Data Performance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UL Throughput (5G)</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 20 Mbps</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Speed Test</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Data Performance</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Latency (LTE)</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 50 ms</w:t>
            </w:r>
          </w:p>
        </w:tc>
        <w:tc>
          <w:tcPr>
            <w:tcW w:type="dxa" w:w="2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Speed Test</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Data Performance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Latency (5G)</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 20 ms</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Speed Test</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Data Performance</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Packet Loss Rate</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 1%</w:t>
            </w:r>
          </w:p>
        </w:tc>
        <w:tc>
          <w:tcPr>
            <w:tcW w:type="dxa" w:w="2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Speed Test</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Network Availability</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RRC Connection Setup SR</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 99%</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L3 Decoder</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Network Availability</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E-RAB Setup SR</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 98%</w:t>
            </w:r>
          </w:p>
        </w:tc>
        <w:tc>
          <w:tcPr>
            <w:tcW w:type="dxa" w:w="2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L3 Decoder</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Network Availability</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Attach Success Rate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 98%</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L3 Decoder</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Network Availability</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PDN Connectivity SR</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 97%</w:t>
            </w:r>
          </w:p>
        </w:tc>
        <w:tc>
          <w:tcPr>
            <w:tcW w:type="dxa" w:w="2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L3 Decoder</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Network Availability</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Paging Success Rate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 98%</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L3 Decoder</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Network Availability</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Service Availability</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 99.5%</w:t>
            </w:r>
          </w:p>
        </w:tc>
        <w:tc>
          <w:tcPr>
            <w:tcW w:type="dxa" w:w="2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RF Monitor</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Customer Experience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HTTP Page Load Time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 4 seconds</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Speed Test</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Customer Experience</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Video Streaming MOS</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 3.5</w:t>
            </w:r>
          </w:p>
        </w:tc>
        <w:tc>
          <w:tcPr>
            <w:tcW w:type="dxa" w:w="2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VoLTE QoE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Customer Experience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DNS Resolution Time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 200 ms</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Speed Test</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Customer Experience</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SMS Delivery SR</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 98%</w:t>
            </w:r>
          </w:p>
        </w:tc>
        <w:tc>
          <w:tcPr>
            <w:tcW w:type="dxa" w:w="2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L3 Decoder</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Customer Experience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SMS Delivery Time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 10 seconds</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L3 Decoder</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Customer Experience</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Data Session Setup Time</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 3 seconds</w:t>
            </w:r>
          </w:p>
        </w:tc>
        <w:tc>
          <w:tcPr>
            <w:tcW w:type="dxa" w:w="2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L3 Decoder</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Customer Experience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VoLTE E2E Delay</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 200 ms</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VoLTE QoE</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Customer Experience</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Jitter (VoLTE)</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 30 ms</w:t>
            </w:r>
          </w:p>
        </w:tc>
        <w:tc>
          <w:tcPr>
            <w:tcW w:type="dxa" w:w="2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VoLTE QoE</w:t>
            </w:r>
          </w:p>
        </w:tc>
      </w:tr>
    </w:tbl>
    <w:p>
      <w:r>
        <w:br w:type="page"/>
      </w:r>
    </w:p>
    <w:p>
      <w:pPr>
        <w:pStyle w:val="Heading1"/>
      </w:pPr>
      <w:r>
        <w:t xml:space="preserve">Ghana NCA — Updated Standards</w:t>
      </w:r>
    </w:p>
    <w:p>
      <w:pPr>
        <w:spacing w:after="200"/>
      </w:pPr>
      <w:r>
        <w:rPr>
          <w:rFonts w:ascii="Calibri" w:cs="Calibri" w:eastAsia="Calibri" w:hAnsi="Calibri"/>
          <w:color w:val="1A1A2E"/>
          <w:sz w:val="22"/>
          <w:szCs w:val="22"/>
        </w:rPr>
        <w:t xml:space="preserve">The Ghana NCA’s February 2026 update is the first revision of QoS standards since 2004 — a 22-year gap. The changes are substantial and bring Ghana’s framework closer to international best practices.</w:t>
      </w:r>
    </w:p>
    <w:p>
      <w:pPr>
        <w:pStyle w:val="Heading2"/>
      </w:pPr>
      <w:r>
        <w:t xml:space="preserve">Key Changes from 2004 Framework</w:t>
      </w:r>
    </w:p>
    <w:p>
      <w:pPr>
        <w:pStyle w:val="ListParagraph"/>
        <w:numPr>
          <w:ilvl w:val="0"/>
          <w:numId w:val="2"/>
        </w:numPr>
        <w:spacing w:after="100"/>
      </w:pPr>
      <w:r>
        <w:rPr>
          <w:rFonts w:ascii="Calibri" w:cs="Calibri" w:eastAsia="Calibri" w:hAnsi="Calibri"/>
          <w:sz w:val="22"/>
          <w:szCs w:val="22"/>
        </w:rPr>
        <w:t xml:space="preserve">Call Drop Rate reduced from 3% to less than 1%</w:t>
      </w:r>
    </w:p>
    <w:p>
      <w:pPr>
        <w:pStyle w:val="ListParagraph"/>
        <w:numPr>
          <w:ilvl w:val="0"/>
          <w:numId w:val="2"/>
        </w:numPr>
        <w:spacing w:after="100"/>
      </w:pPr>
      <w:r>
        <w:rPr>
          <w:rFonts w:ascii="Calibri" w:cs="Calibri" w:eastAsia="Calibri" w:hAnsi="Calibri"/>
          <w:sz w:val="22"/>
          <w:szCs w:val="22"/>
        </w:rPr>
        <w:t xml:space="preserve">Call Completion Success Rate floor raised to 95%</w:t>
      </w:r>
    </w:p>
    <w:p>
      <w:pPr>
        <w:pStyle w:val="ListParagraph"/>
        <w:numPr>
          <w:ilvl w:val="0"/>
          <w:numId w:val="2"/>
        </w:numPr>
        <w:spacing w:after="100"/>
      </w:pPr>
      <w:r>
        <w:rPr>
          <w:rFonts w:ascii="Calibri" w:cs="Calibri" w:eastAsia="Calibri" w:hAnsi="Calibri"/>
          <w:sz w:val="22"/>
          <w:szCs w:val="22"/>
        </w:rPr>
        <w:t xml:space="preserve">New legal obligation to cover all district capitals</w:t>
      </w:r>
    </w:p>
    <w:p>
      <w:pPr>
        <w:pStyle w:val="ListParagraph"/>
        <w:numPr>
          <w:ilvl w:val="0"/>
          <w:numId w:val="2"/>
        </w:numPr>
        <w:spacing w:after="100"/>
      </w:pPr>
      <w:r>
        <w:rPr>
          <w:rFonts w:ascii="Calibri" w:cs="Calibri" w:eastAsia="Calibri" w:hAnsi="Calibri"/>
          <w:sz w:val="22"/>
          <w:szCs w:val="22"/>
        </w:rPr>
        <w:t xml:space="preserve">Quarterly reporting replaces annual reporting</w:t>
      </w:r>
    </w:p>
    <w:p>
      <w:pPr>
        <w:pStyle w:val="ListParagraph"/>
        <w:numPr>
          <w:ilvl w:val="0"/>
          <w:numId w:val="2"/>
        </w:numPr>
        <w:spacing w:after="200"/>
      </w:pPr>
      <w:r>
        <w:rPr>
          <w:rFonts w:ascii="Calibri" w:cs="Calibri" w:eastAsia="Calibri" w:hAnsi="Calibri"/>
          <w:sz w:val="22"/>
          <w:szCs w:val="22"/>
        </w:rPr>
        <w:t xml:space="preserve">Network availability threshold raised from 95% to 99%</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200"/>
        <w:gridCol w:w="3960"/>
      </w:tblGrid>
      <w:tr>
        <w:tc>
          <w:tcPr>
            <w:tcW w:type="dxa" w:w="3200"/>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left"/>
            </w:pPr>
            <w:r>
              <w:rPr>
                <w:rFonts w:ascii="Calibri" w:cs="Calibri" w:eastAsia="Calibri" w:hAnsi="Calibri"/>
                <w:b/>
                <w:bCs/>
                <w:color w:val="FFFFFF"/>
                <w:sz w:val="20"/>
                <w:szCs w:val="20"/>
              </w:rPr>
              <w:t xml:space="preserve">KPI</w:t>
            </w:r>
          </w:p>
        </w:tc>
        <w:tc>
          <w:tcPr>
            <w:tcW w:type="dxa" w:w="2200"/>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left"/>
            </w:pPr>
            <w:r>
              <w:rPr>
                <w:rFonts w:ascii="Calibri" w:cs="Calibri" w:eastAsia="Calibri" w:hAnsi="Calibri"/>
                <w:b/>
                <w:bCs/>
                <w:color w:val="FFFFFF"/>
                <w:sz w:val="20"/>
                <w:szCs w:val="20"/>
              </w:rPr>
              <w:t xml:space="preserve">Threshold</w:t>
            </w:r>
          </w:p>
        </w:tc>
        <w:tc>
          <w:tcPr>
            <w:tcW w:type="dxa" w:w="3960"/>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left"/>
            </w:pPr>
            <w:r>
              <w:rPr>
                <w:rFonts w:ascii="Calibri" w:cs="Calibri" w:eastAsia="Calibri" w:hAnsi="Calibri"/>
                <w:b/>
                <w:bCs/>
                <w:color w:val="FFFFFF"/>
                <w:sz w:val="20"/>
                <w:szCs w:val="20"/>
              </w:rPr>
              <w:t xml:space="preserve">Change from 2004</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Call Drop Rate (all technologies)</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&lt; 1%</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Down from 3% (2004)</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Call Completion Success Rate</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 95%</w:t>
            </w:r>
          </w:p>
        </w:tc>
        <w:tc>
          <w:tcPr>
            <w:tcW w:type="dxa" w:w="3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New mandatory metric</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Call Setup Success Rate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 97%</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Unchanged</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Network Availability</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 99%</w:t>
            </w:r>
          </w:p>
        </w:tc>
        <w:tc>
          <w:tcPr>
            <w:tcW w:type="dxa" w:w="3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Up from 95% (2004)</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SMS Delivery Success Rate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 98%</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New mandatory metric</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Data Download Speed (4G urban)</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 5 Mbps</w:t>
            </w:r>
          </w:p>
        </w:tc>
        <w:tc>
          <w:tcPr>
            <w:tcW w:type="dxa" w:w="3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New mandatory metric</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Coverage obligation</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100% district capitals</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New legal requirement</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Handover Success Rate</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 95%</w:t>
            </w:r>
          </w:p>
        </w:tc>
        <w:tc>
          <w:tcPr>
            <w:tcW w:type="dxa" w:w="3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New mandatory metric</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QoS Reporting</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Quarterly</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New cadence (was annual)</w:t>
            </w:r>
          </w:p>
        </w:tc>
      </w:tr>
    </w:tbl>
    <w:p>
      <w:r>
        <w:br w:type="page"/>
      </w:r>
    </w:p>
    <w:p>
      <w:pPr>
        <w:pStyle w:val="Heading1"/>
      </w:pPr>
      <w:r>
        <w:t xml:space="preserve">Kenya vs Ghana — KPI Comparison</w:t>
      </w:r>
    </w:p>
    <w:p>
      <w:pPr>
        <w:spacing w:after="200"/>
      </w:pPr>
      <w:r>
        <w:rPr>
          <w:rFonts w:ascii="Calibri" w:cs="Calibri" w:eastAsia="Calibri" w:hAnsi="Calibri"/>
          <w:color w:val="1A1A2E"/>
          <w:sz w:val="22"/>
          <w:szCs w:val="22"/>
        </w:rPr>
        <w:t xml:space="preserve">The following table provides a side-by-side comparison of the two regulatory frameworks to help operators active in both markets understand the differences.</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left"/>
            </w:pPr>
            <w:r>
              <w:rPr>
                <w:rFonts w:ascii="Calibri" w:cs="Calibri" w:eastAsia="Calibri" w:hAnsi="Calibri"/>
                <w:b/>
                <w:bCs/>
                <w:color w:val="FFFFFF"/>
                <w:sz w:val="20"/>
                <w:szCs w:val="20"/>
              </w:rPr>
              <w:t xml:space="preserve">Metric</w:t>
            </w:r>
          </w:p>
        </w:tc>
        <w:tc>
          <w:tcPr>
            <w:tcW w:type="dxa" w:w="3120"/>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left"/>
            </w:pPr>
            <w:r>
              <w:rPr>
                <w:rFonts w:ascii="Calibri" w:cs="Calibri" w:eastAsia="Calibri" w:hAnsi="Calibri"/>
                <w:b/>
                <w:bCs/>
                <w:color w:val="FFFFFF"/>
                <w:sz w:val="20"/>
                <w:szCs w:val="20"/>
              </w:rPr>
              <w:t xml:space="preserve">Kenya CA (Jan 2026)</w:t>
            </w:r>
          </w:p>
        </w:tc>
        <w:tc>
          <w:tcPr>
            <w:tcW w:type="dxa" w:w="3120"/>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left"/>
            </w:pPr>
            <w:r>
              <w:rPr>
                <w:rFonts w:ascii="Calibri" w:cs="Calibri" w:eastAsia="Calibri" w:hAnsi="Calibri"/>
                <w:b/>
                <w:bCs/>
                <w:color w:val="FFFFFF"/>
                <w:sz w:val="20"/>
                <w:szCs w:val="20"/>
              </w:rPr>
              <w:t xml:space="preserve">Ghana NCA (Feb 2026)</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Number of KPIs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38</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9 core + sub-metrics</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VoLTE metrics</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Yes (MOS, CSSR, CDR)</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Not yet specified</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5G NR metrics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Yes (VoNR, 5G throughput)</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Not yet specified</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Call Drop Rate threshold</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 1%</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&lt; 1%</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Reporting frequency</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Quarterly</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Quarterly</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Penalty mechanism</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0.2% of annual revenue</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License conditions</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Coverage obligation</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95% urban / 90% national</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100% district capitals</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Indoor testing required</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Yes (key buildings)</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Not explicitly required</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Field evidence required</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Yes (geolocated)</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Yes</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Effective date</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January 2026</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February 2026</w:t>
            </w:r>
          </w:p>
        </w:tc>
      </w:tr>
    </w:tbl>
    <w:p>
      <w:r>
        <w:br w:type="page"/>
      </w:r>
    </w:p>
    <w:p>
      <w:pPr>
        <w:pStyle w:val="Heading1"/>
      </w:pPr>
      <w:r>
        <w:t xml:space="preserve">Mapping HiCellTek Modules to Regulatory KPIs</w:t>
      </w:r>
    </w:p>
    <w:p>
      <w:pPr>
        <w:spacing w:after="200"/>
      </w:pPr>
      <w:r>
        <w:rPr>
          <w:rFonts w:ascii="Calibri" w:cs="Calibri" w:eastAsia="Calibri" w:hAnsi="Calibri"/>
          <w:color w:val="1A1A2E"/>
          <w:sz w:val="22"/>
          <w:szCs w:val="22"/>
        </w:rPr>
        <w:t xml:space="preserve">HiCellTek is an Android-based suite of network diagnostic tools that covers 2G, 3G, 4G LTE, and 5G NR. Each module maps directly to specific regulatory KPI categories.</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3000"/>
      </w:tblGrid>
      <w:tr>
        <w:tc>
          <w:tcPr>
            <w:tcW w:type="dxa" w:w="2200"/>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left"/>
            </w:pPr>
            <w:r>
              <w:rPr>
                <w:rFonts w:ascii="Calibri" w:cs="Calibri" w:eastAsia="Calibri" w:hAnsi="Calibri"/>
                <w:b/>
                <w:bCs/>
                <w:color w:val="FFFFFF"/>
                <w:sz w:val="20"/>
                <w:szCs w:val="20"/>
              </w:rPr>
              <w:t xml:space="preserve">HiCellTek Module</w:t>
            </w:r>
          </w:p>
        </w:tc>
        <w:tc>
          <w:tcPr>
            <w:tcW w:type="dxa" w:w="4160"/>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left"/>
            </w:pPr>
            <w:r>
              <w:rPr>
                <w:rFonts w:ascii="Calibri" w:cs="Calibri" w:eastAsia="Calibri" w:hAnsi="Calibri"/>
                <w:b/>
                <w:bCs/>
                <w:color w:val="FFFFFF"/>
                <w:sz w:val="20"/>
                <w:szCs w:val="20"/>
              </w:rPr>
              <w:t xml:space="preserve">What It Measures</w:t>
            </w:r>
          </w:p>
        </w:tc>
        <w:tc>
          <w:tcPr>
            <w:tcW w:type="dxa" w:w="3000"/>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left"/>
            </w:pPr>
            <w:r>
              <w:rPr>
                <w:rFonts w:ascii="Calibri" w:cs="Calibri" w:eastAsia="Calibri" w:hAnsi="Calibri"/>
                <w:b/>
                <w:bCs/>
                <w:color w:val="FFFFFF"/>
                <w:sz w:val="20"/>
                <w:szCs w:val="20"/>
              </w:rPr>
              <w:t xml:space="preserve">KPI Categories Covered</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5B5CFF"/>
                <w:sz w:val="20"/>
                <w:szCs w:val="20"/>
              </w:rPr>
              <w:t xml:space="preserve">RF Monitor</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RSRP, RSRQ, SINR, coverage KPIs, serving/neighbor cells</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Coverage &amp; Accessibility
Network Availability</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b/>
                <w:bCs/>
                <w:color w:val="5B5CFF"/>
                <w:sz w:val="20"/>
                <w:szCs w:val="20"/>
              </w:rPr>
              <w:t xml:space="preserve">VoLTE QoE Analysis</w:t>
            </w:r>
          </w:p>
        </w:tc>
        <w:tc>
          <w:tcPr>
            <w:tcW w:type="dxa" w:w="4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MOS (VisQOL ML), call setup time, drop rate, jitter, RTP</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Voice Quality
Customer Experience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5B5CFF"/>
                <w:sz w:val="20"/>
                <w:szCs w:val="20"/>
              </w:rPr>
              <w:t xml:space="preserve">Speed Test</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DL/UL throughput, latency, packet loss, DNS, HTTP load</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Data Performance
Customer Experience</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b/>
                <w:bCs/>
                <w:color w:val="5B5CFF"/>
                <w:sz w:val="20"/>
                <w:szCs w:val="20"/>
              </w:rPr>
              <w:t xml:space="preserve">Drive Test + Cartography</w:t>
            </w:r>
          </w:p>
        </w:tc>
        <w:tc>
          <w:tcPr>
            <w:tcW w:type="dxa" w:w="4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Geolocated KPI recording, route coverage maps</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Coverage &amp; Accessibility
All categories (field evidence)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5B5CFF"/>
                <w:sz w:val="20"/>
                <w:szCs w:val="20"/>
              </w:rPr>
              <w:t xml:space="preserve">L3 Protocol Decoder</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RRC/NAS message analysis, attach SR, handover SR, SRVCC</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1A2E"/>
                <w:sz w:val="20"/>
                <w:szCs w:val="20"/>
              </w:rPr>
              <w:t xml:space="preserve">Network Availability
Voice Quality</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b/>
                <w:bCs/>
                <w:color w:val="5B5CFF"/>
                <w:sz w:val="20"/>
                <w:szCs w:val="20"/>
              </w:rPr>
              <w:t xml:space="preserve">Indoor Walk Test</w:t>
            </w:r>
          </w:p>
        </w:tc>
        <w:tc>
          <w:tcPr>
            <w:tcW w:type="dxa" w:w="4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Floor-plan coverage mapping, indoor RSRP validation</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1A1A2E"/>
                <w:sz w:val="20"/>
                <w:szCs w:val="20"/>
              </w:rPr>
              <w:t xml:space="preserve">Coverage &amp; Accessibility
(Indoor requirements)</w:t>
            </w:r>
          </w:p>
        </w:tc>
      </w:tr>
    </w:tbl>
    <w:p>
      <w:r>
        <w:br w:type="page"/>
      </w:r>
    </w:p>
    <w:p>
      <w:pPr>
        <w:pStyle w:val="Heading1"/>
      </w:pPr>
      <w:r>
        <w:t xml:space="preserve">Pre-Audit Checklist</w:t>
      </w:r>
    </w:p>
    <w:p>
      <w:pPr>
        <w:spacing w:after="200"/>
      </w:pPr>
      <w:r>
        <w:rPr>
          <w:rFonts w:ascii="Calibri" w:cs="Calibri" w:eastAsia="Calibri" w:hAnsi="Calibri"/>
          <w:color w:val="1A1A2E"/>
          <w:sz w:val="22"/>
          <w:szCs w:val="22"/>
        </w:rPr>
        <w:t xml:space="preserve">Use this checklist to prepare your team before a QoS compliance audit. Each item should be completed at least two weeks before the audit submission deadline.</w:t>
      </w:r>
    </w:p>
    <w:p>
      <w:pPr>
        <w:spacing w:after="120"/>
      </w:pPr>
    </w:p>
    <w:p>
      <w:pPr>
        <w:pStyle w:val="ListParagraph"/>
        <w:numPr>
          <w:ilvl w:val="0"/>
          <w:numId w:val="3"/>
        </w:numPr>
        <w:spacing w:after="160"/>
      </w:pPr>
      <w:r>
        <w:rPr>
          <w:rFonts w:ascii="Calibri" w:cs="Calibri" w:eastAsia="Calibri" w:hAnsi="Calibri"/>
          <w:color w:val="1A1A2E"/>
          <w:sz w:val="22"/>
          <w:szCs w:val="22"/>
        </w:rPr>
        <w:t xml:space="preserve">Define drive test routes covering all required geographic zones (urban, suburban, rural)</w:t>
      </w:r>
    </w:p>
    <w:p>
      <w:pPr>
        <w:pStyle w:val="ListParagraph"/>
        <w:numPr>
          <w:ilvl w:val="0"/>
          <w:numId w:val="3"/>
        </w:numPr>
        <w:spacing w:after="160"/>
      </w:pPr>
      <w:r>
        <w:rPr>
          <w:rFonts w:ascii="Calibri" w:cs="Calibri" w:eastAsia="Calibri" w:hAnsi="Calibri"/>
          <w:color w:val="1A1A2E"/>
          <w:sz w:val="22"/>
          <w:szCs w:val="22"/>
        </w:rPr>
        <w:t xml:space="preserve">Calibrate measurement devices and verify HiCellTek module licenses are active</w:t>
      </w:r>
    </w:p>
    <w:p>
      <w:pPr>
        <w:pStyle w:val="ListParagraph"/>
        <w:numPr>
          <w:ilvl w:val="0"/>
          <w:numId w:val="3"/>
        </w:numPr>
        <w:spacing w:after="160"/>
      </w:pPr>
      <w:r>
        <w:rPr>
          <w:rFonts w:ascii="Calibri" w:cs="Calibri" w:eastAsia="Calibri" w:hAnsi="Calibri"/>
          <w:color w:val="1A1A2E"/>
          <w:sz w:val="22"/>
          <w:szCs w:val="22"/>
        </w:rPr>
        <w:t xml:space="preserve">Configure RF Monitor to log all required KPIs (RSRP, RSRQ, SINR, throughput)</w:t>
      </w:r>
    </w:p>
    <w:p>
      <w:pPr>
        <w:pStyle w:val="ListParagraph"/>
        <w:numPr>
          <w:ilvl w:val="0"/>
          <w:numId w:val="3"/>
        </w:numPr>
        <w:spacing w:after="160"/>
      </w:pPr>
      <w:r>
        <w:rPr>
          <w:rFonts w:ascii="Calibri" w:cs="Calibri" w:eastAsia="Calibri" w:hAnsi="Calibri"/>
          <w:color w:val="1A1A2E"/>
          <w:sz w:val="22"/>
          <w:szCs w:val="22"/>
        </w:rPr>
        <w:t xml:space="preserve">Set up VoLTE QoE module for automated MOS scoring during voice test calls</w:t>
      </w:r>
    </w:p>
    <w:p>
      <w:pPr>
        <w:pStyle w:val="ListParagraph"/>
        <w:numPr>
          <w:ilvl w:val="0"/>
          <w:numId w:val="3"/>
        </w:numPr>
        <w:spacing w:after="160"/>
      </w:pPr>
      <w:r>
        <w:rPr>
          <w:rFonts w:ascii="Calibri" w:cs="Calibri" w:eastAsia="Calibri" w:hAnsi="Calibri"/>
          <w:color w:val="1A1A2E"/>
          <w:sz w:val="22"/>
          <w:szCs w:val="22"/>
        </w:rPr>
        <w:t xml:space="preserve">Plan indoor walk test sites for key buildings (malls, airports, government offices)</w:t>
      </w:r>
    </w:p>
    <w:p>
      <w:pPr>
        <w:pStyle w:val="ListParagraph"/>
        <w:numPr>
          <w:ilvl w:val="0"/>
          <w:numId w:val="3"/>
        </w:numPr>
        <w:spacing w:after="160"/>
      </w:pPr>
      <w:r>
        <w:rPr>
          <w:rFonts w:ascii="Calibri" w:cs="Calibri" w:eastAsia="Calibri" w:hAnsi="Calibri"/>
          <w:color w:val="1A1A2E"/>
          <w:sz w:val="22"/>
          <w:szCs w:val="22"/>
        </w:rPr>
        <w:t xml:space="preserve">Schedule test campaigns across peak and off-peak hours for representative data</w:t>
      </w:r>
    </w:p>
    <w:p>
      <w:pPr>
        <w:pStyle w:val="ListParagraph"/>
        <w:numPr>
          <w:ilvl w:val="0"/>
          <w:numId w:val="3"/>
        </w:numPr>
        <w:spacing w:after="160"/>
      </w:pPr>
      <w:r>
        <w:rPr>
          <w:rFonts w:ascii="Calibri" w:cs="Calibri" w:eastAsia="Calibri" w:hAnsi="Calibri"/>
          <w:color w:val="1A1A2E"/>
          <w:sz w:val="22"/>
          <w:szCs w:val="22"/>
        </w:rPr>
        <w:t xml:space="preserve">Enable L3 Decoder logging to capture RRC/NAS signaling for root cause analysis</w:t>
      </w:r>
    </w:p>
    <w:p>
      <w:pPr>
        <w:pStyle w:val="ListParagraph"/>
        <w:numPr>
          <w:ilvl w:val="0"/>
          <w:numId w:val="3"/>
        </w:numPr>
        <w:spacing w:after="160"/>
      </w:pPr>
      <w:r>
        <w:rPr>
          <w:rFonts w:ascii="Calibri" w:cs="Calibri" w:eastAsia="Calibri" w:hAnsi="Calibri"/>
          <w:color w:val="1A1A2E"/>
          <w:sz w:val="22"/>
          <w:szCs w:val="22"/>
        </w:rPr>
        <w:t xml:space="preserve">Prepare export templates matching regulator reporting format (CSV, KML, PDF)</w:t>
      </w:r>
    </w:p>
    <w:p>
      <w:pPr>
        <w:pStyle w:val="ListParagraph"/>
        <w:numPr>
          <w:ilvl w:val="0"/>
          <w:numId w:val="3"/>
        </w:numPr>
        <w:spacing w:after="160"/>
      </w:pPr>
      <w:r>
        <w:rPr>
          <w:rFonts w:ascii="Calibri" w:cs="Calibri" w:eastAsia="Calibri" w:hAnsi="Calibri"/>
          <w:color w:val="1A1A2E"/>
          <w:sz w:val="22"/>
          <w:szCs w:val="22"/>
        </w:rPr>
        <w:t xml:space="preserve">Run pre-audit dry run and compare results against KPI thresholds</w:t>
      </w:r>
    </w:p>
    <w:p>
      <w:pPr>
        <w:pStyle w:val="ListParagraph"/>
        <w:numPr>
          <w:ilvl w:val="0"/>
          <w:numId w:val="3"/>
        </w:numPr>
        <w:spacing w:after="160"/>
      </w:pPr>
      <w:r>
        <w:rPr>
          <w:rFonts w:ascii="Calibri" w:cs="Calibri" w:eastAsia="Calibri" w:hAnsi="Calibri"/>
          <w:color w:val="1A1A2E"/>
          <w:sz w:val="22"/>
          <w:szCs w:val="22"/>
        </w:rPr>
        <w:t xml:space="preserve">Compile final report with geolocated evidence, KPI summaries, and trend analysis</w:t>
      </w:r>
    </w:p>
    <w:p>
      <w:r>
        <w:br w:type="page"/>
      </w:r>
    </w:p>
    <w:p>
      <w:pPr>
        <w:pStyle w:val="Heading1"/>
      </w:pPr>
      <w:r>
        <w:t xml:space="preserve">Recommended Drive Test Protocol</w:t>
      </w:r>
    </w:p>
    <w:p>
      <w:pPr>
        <w:pStyle w:val="Heading2"/>
      </w:pPr>
      <w:r>
        <w:t xml:space="preserve">Route Planning</w:t>
      </w:r>
    </w:p>
    <w:p>
      <w:pPr>
        <w:pStyle w:val="ListParagraph"/>
        <w:numPr>
          <w:ilvl w:val="0"/>
          <w:numId w:val="2"/>
        </w:numPr>
        <w:spacing w:after="100"/>
      </w:pPr>
      <w:r>
        <w:rPr>
          <w:rFonts w:ascii="Calibri" w:cs="Calibri" w:eastAsia="Calibri" w:hAnsi="Calibri"/>
          <w:sz w:val="22"/>
          <w:szCs w:val="22"/>
        </w:rPr>
        <w:t xml:space="preserve">Cover all geographic zones specified by the regulator (urban, suburban, rural, highways)</w:t>
      </w:r>
    </w:p>
    <w:p>
      <w:pPr>
        <w:pStyle w:val="ListParagraph"/>
        <w:numPr>
          <w:ilvl w:val="0"/>
          <w:numId w:val="2"/>
        </w:numPr>
        <w:spacing w:after="100"/>
      </w:pPr>
      <w:r>
        <w:rPr>
          <w:rFonts w:ascii="Calibri" w:cs="Calibri" w:eastAsia="Calibri" w:hAnsi="Calibri"/>
          <w:sz w:val="22"/>
          <w:szCs w:val="22"/>
        </w:rPr>
        <w:t xml:space="preserve">Include main roads, residential areas, commercial districts, and known coverage gaps</w:t>
      </w:r>
    </w:p>
    <w:p>
      <w:pPr>
        <w:pStyle w:val="ListParagraph"/>
        <w:numPr>
          <w:ilvl w:val="0"/>
          <w:numId w:val="2"/>
        </w:numPr>
        <w:spacing w:after="100"/>
      </w:pPr>
      <w:r>
        <w:rPr>
          <w:rFonts w:ascii="Calibri" w:cs="Calibri" w:eastAsia="Calibri" w:hAnsi="Calibri"/>
          <w:sz w:val="22"/>
          <w:szCs w:val="22"/>
        </w:rPr>
        <w:t xml:space="preserve">Plan routes with minimum 80% overlap with previous audit campaigns for trend analysis</w:t>
      </w:r>
    </w:p>
    <w:p>
      <w:pPr>
        <w:pStyle w:val="ListParagraph"/>
        <w:numPr>
          <w:ilvl w:val="0"/>
          <w:numId w:val="2"/>
        </w:numPr>
        <w:spacing w:after="200"/>
      </w:pPr>
      <w:r>
        <w:rPr>
          <w:rFonts w:ascii="Calibri" w:cs="Calibri" w:eastAsia="Calibri" w:hAnsi="Calibri"/>
          <w:sz w:val="22"/>
          <w:szCs w:val="22"/>
        </w:rPr>
        <w:t xml:space="preserve">Target minimum 500 km of drive distance per technology per geographic zone</w:t>
      </w:r>
    </w:p>
    <w:p>
      <w:pPr>
        <w:pStyle w:val="Heading2"/>
      </w:pPr>
      <w:r>
        <w:t xml:space="preserve">Measurement Methodology</w:t>
      </w:r>
    </w:p>
    <w:p>
      <w:pPr>
        <w:pStyle w:val="ListParagraph"/>
        <w:numPr>
          <w:ilvl w:val="0"/>
          <w:numId w:val="2"/>
        </w:numPr>
        <w:spacing w:after="100"/>
      </w:pPr>
      <w:r>
        <w:rPr>
          <w:rFonts w:ascii="Calibri" w:cs="Calibri" w:eastAsia="Calibri" w:hAnsi="Calibri"/>
          <w:sz w:val="22"/>
          <w:szCs w:val="22"/>
        </w:rPr>
        <w:t xml:space="preserve">Use HiCellTek Drive Test module with GPS logging enabled (minimum 1-second sampling)</w:t>
      </w:r>
    </w:p>
    <w:p>
      <w:pPr>
        <w:pStyle w:val="ListParagraph"/>
        <w:numPr>
          <w:ilvl w:val="0"/>
          <w:numId w:val="2"/>
        </w:numPr>
        <w:spacing w:after="100"/>
      </w:pPr>
      <w:r>
        <w:rPr>
          <w:rFonts w:ascii="Calibri" w:cs="Calibri" w:eastAsia="Calibri" w:hAnsi="Calibri"/>
          <w:sz w:val="22"/>
          <w:szCs w:val="22"/>
        </w:rPr>
        <w:t xml:space="preserve">Enable simultaneous RF Monitor + L3 Decoder for correlated RF and signaling data</w:t>
      </w:r>
    </w:p>
    <w:p>
      <w:pPr>
        <w:pStyle w:val="ListParagraph"/>
        <w:numPr>
          <w:ilvl w:val="0"/>
          <w:numId w:val="2"/>
        </w:numPr>
        <w:spacing w:after="100"/>
      </w:pPr>
      <w:r>
        <w:rPr>
          <w:rFonts w:ascii="Calibri" w:cs="Calibri" w:eastAsia="Calibri" w:hAnsi="Calibri"/>
          <w:sz w:val="22"/>
          <w:szCs w:val="22"/>
        </w:rPr>
        <w:t xml:space="preserve">Conduct voice test calls every 2 km (minimum 10-second call duration for MOS)</w:t>
      </w:r>
    </w:p>
    <w:p>
      <w:pPr>
        <w:pStyle w:val="ListParagraph"/>
        <w:numPr>
          <w:ilvl w:val="0"/>
          <w:numId w:val="2"/>
        </w:numPr>
        <w:spacing w:after="100"/>
      </w:pPr>
      <w:r>
        <w:rPr>
          <w:rFonts w:ascii="Calibri" w:cs="Calibri" w:eastAsia="Calibri" w:hAnsi="Calibri"/>
          <w:sz w:val="22"/>
          <w:szCs w:val="22"/>
        </w:rPr>
        <w:t xml:space="preserve">Run speed tests at predefined checkpoints (every 5 km or at cluster boundaries)</w:t>
      </w:r>
    </w:p>
    <w:p>
      <w:pPr>
        <w:pStyle w:val="ListParagraph"/>
        <w:numPr>
          <w:ilvl w:val="0"/>
          <w:numId w:val="2"/>
        </w:numPr>
        <w:spacing w:after="200"/>
      </w:pPr>
      <w:r>
        <w:rPr>
          <w:rFonts w:ascii="Calibri" w:cs="Calibri" w:eastAsia="Calibri" w:hAnsi="Calibri"/>
          <w:sz w:val="22"/>
          <w:szCs w:val="22"/>
        </w:rPr>
        <w:t xml:space="preserve">Test during both peak hours (8-11 AM, 5-8 PM) and off-peak for representative data</w:t>
      </w:r>
    </w:p>
    <w:p>
      <w:pPr>
        <w:pStyle w:val="Heading2"/>
      </w:pPr>
      <w:r>
        <w:t xml:space="preserve">Reporting Format</w:t>
      </w:r>
    </w:p>
    <w:p>
      <w:pPr>
        <w:pStyle w:val="ListParagraph"/>
        <w:numPr>
          <w:ilvl w:val="0"/>
          <w:numId w:val="2"/>
        </w:numPr>
        <w:spacing w:after="100"/>
      </w:pPr>
      <w:r>
        <w:rPr>
          <w:rFonts w:ascii="Calibri" w:cs="Calibri" w:eastAsia="Calibri" w:hAnsi="Calibri"/>
          <w:sz w:val="22"/>
          <w:szCs w:val="22"/>
        </w:rPr>
        <w:t xml:space="preserve">Export KML files with geolocated KPIs for regulator map submission</w:t>
      </w:r>
    </w:p>
    <w:p>
      <w:pPr>
        <w:pStyle w:val="ListParagraph"/>
        <w:numPr>
          <w:ilvl w:val="0"/>
          <w:numId w:val="2"/>
        </w:numPr>
        <w:spacing w:after="100"/>
      </w:pPr>
      <w:r>
        <w:rPr>
          <w:rFonts w:ascii="Calibri" w:cs="Calibri" w:eastAsia="Calibri" w:hAnsi="Calibri"/>
          <w:sz w:val="22"/>
          <w:szCs w:val="22"/>
        </w:rPr>
        <w:t xml:space="preserve">Generate CSV exports with per-sample data for statistical analysis</w:t>
      </w:r>
    </w:p>
    <w:p>
      <w:pPr>
        <w:pStyle w:val="ListParagraph"/>
        <w:numPr>
          <w:ilvl w:val="0"/>
          <w:numId w:val="2"/>
        </w:numPr>
        <w:spacing w:after="100"/>
      </w:pPr>
      <w:r>
        <w:rPr>
          <w:rFonts w:ascii="Calibri" w:cs="Calibri" w:eastAsia="Calibri" w:hAnsi="Calibri"/>
          <w:sz w:val="22"/>
          <w:szCs w:val="22"/>
        </w:rPr>
        <w:t xml:space="preserve">Include coverage maps (RSRP heatmaps) with color-coded thresholds</w:t>
      </w:r>
    </w:p>
    <w:p>
      <w:pPr>
        <w:pStyle w:val="ListParagraph"/>
        <w:numPr>
          <w:ilvl w:val="0"/>
          <w:numId w:val="2"/>
        </w:numPr>
        <w:spacing w:after="200"/>
      </w:pPr>
      <w:r>
        <w:rPr>
          <w:rFonts w:ascii="Calibri" w:cs="Calibri" w:eastAsia="Calibri" w:hAnsi="Calibri"/>
          <w:sz w:val="22"/>
          <w:szCs w:val="22"/>
        </w:rPr>
        <w:t xml:space="preserve">Attach L3 Decoder logs (QMDL/HLOG) as supplementary evidence for root cause documentation</w:t>
      </w:r>
    </w:p>
    <w:p>
      <w:r>
        <w:br w:type="page"/>
      </w:r>
    </w:p>
    <w:p>
      <w:pPr>
        <w:pStyle w:val="Heading1"/>
      </w:pPr>
      <w:r>
        <w:t xml:space="preserve">About HiCellTek</w:t>
      </w:r>
    </w:p>
    <w:p>
      <w:pPr>
        <w:spacing w:after="200"/>
      </w:pPr>
      <w:r>
        <w:rPr>
          <w:rFonts w:ascii="Calibri" w:cs="Calibri" w:eastAsia="Calibri" w:hAnsi="Calibri"/>
          <w:color w:val="1A1A2E"/>
          <w:sz w:val="22"/>
          <w:szCs w:val="22"/>
        </w:rPr>
        <w:t xml:space="preserve">HiCellTek is a professional-grade Android application for mobile network diagnostics. It provides real-time RF monitoring, Layer 3 protocol decoding (RRC, NAS, IMS), VoLTE/VoNR quality analysis, drive test with GPS cartography, indoor walk test, and speed testing — all from a standard Android smartphone.</w:t>
      </w:r>
    </w:p>
    <w:p>
      <w:pPr>
        <w:spacing w:after="200"/>
      </w:pPr>
      <w:r>
        <w:rPr>
          <w:rFonts w:ascii="Calibri" w:cs="Calibri" w:eastAsia="Calibri" w:hAnsi="Calibri"/>
          <w:color w:val="1A1A2E"/>
          <w:sz w:val="22"/>
          <w:szCs w:val="22"/>
        </w:rPr>
        <w:t xml:space="preserve">Designed for field engineers, QoS teams, and network optimization professionals, HiCellTek covers 2G, 3G, 4G LTE, and 5G NR in a single lightweight tool that costs a fraction of traditional drive test solutions.</w:t>
      </w:r>
    </w:p>
    <w:p>
      <w:pPr>
        <w:spacing w:after="120"/>
      </w:pPr>
    </w:p>
    <w:p>
      <w:pPr>
        <w:pStyle w:val="Heading2"/>
      </w:pPr>
      <w:r>
        <w:t xml:space="preserve">Contact</w:t>
      </w:r>
    </w:p>
    <w:p>
      <w:pPr>
        <w:pStyle w:val="ListParagraph"/>
        <w:numPr>
          <w:ilvl w:val="0"/>
          <w:numId w:val="2"/>
        </w:numPr>
        <w:spacing w:after="100"/>
      </w:pPr>
      <w:r>
        <w:rPr>
          <w:rFonts w:ascii="Calibri" w:cs="Calibri" w:eastAsia="Calibri" w:hAnsi="Calibri"/>
          <w:sz w:val="22"/>
          <w:szCs w:val="22"/>
        </w:rPr>
        <w:t xml:space="preserve">Email: sales@hicelltek.com</w:t>
      </w:r>
    </w:p>
    <w:p>
      <w:pPr>
        <w:pStyle w:val="ListParagraph"/>
        <w:numPr>
          <w:ilvl w:val="0"/>
          <w:numId w:val="2"/>
        </w:numPr>
        <w:spacing w:after="100"/>
      </w:pPr>
      <w:r>
        <w:rPr>
          <w:rFonts w:ascii="Calibri" w:cs="Calibri" w:eastAsia="Calibri" w:hAnsi="Calibri"/>
          <w:sz w:val="22"/>
          <w:szCs w:val="22"/>
        </w:rPr>
        <w:t xml:space="preserve">Website: hicelltek.com</w:t>
      </w:r>
    </w:p>
    <w:p>
      <w:pPr>
        <w:pStyle w:val="ListParagraph"/>
        <w:numPr>
          <w:ilvl w:val="0"/>
          <w:numId w:val="2"/>
        </w:numPr>
        <w:spacing w:after="100"/>
      </w:pPr>
      <w:r>
        <w:rPr>
          <w:rFonts w:ascii="Calibri" w:cs="Calibri" w:eastAsia="Calibri" w:hAnsi="Calibri"/>
          <w:sz w:val="22"/>
          <w:szCs w:val="22"/>
        </w:rPr>
        <w:t xml:space="preserve">LinkedIn: linkedin.com/company/hicelltek</w:t>
      </w:r>
    </w:p>
    <w:p>
      <w:pPr>
        <w:spacing w:after="120"/>
      </w:pPr>
    </w:p>
    <w:p>
      <w:pPr>
        <w:pBdr>
          <w:top w:val="single" w:color="5B5CFF" w:sz="3" w:space="8"/>
        </w:pBdr>
        <w:spacing w:before="400"/>
        <w:jc w:val="center"/>
      </w:pPr>
      <w:r>
        <w:rPr>
          <w:rFonts w:ascii="Calibri" w:cs="Calibri" w:eastAsia="Calibri" w:hAnsi="Calibri"/>
          <w:color w:val="999999"/>
          <w:sz w:val="18"/>
          <w:szCs w:val="18"/>
        </w:rPr>
        <w:t xml:space="preserve">© 2026 HiCellTek. All rights reserved.</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999999"/>
        <w:sz w:val="16"/>
        <w:szCs w:val="16"/>
      </w:rPr>
      <w:t xml:space="preserve">Page </w:t>
    </w:r>
    <w:r>
      <w:rPr>
        <w:rFonts w:ascii="Calibri" w:cs="Calibri" w:eastAsia="Calibri" w:hAnsi="Calibri"/>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999999"/>
        <w:sz w:val="16"/>
        <w:szCs w:val="16"/>
      </w:rPr>
      <w:t xml:space="preserve">HiCellTek — QoS Compliance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Calibri" w:cs="Calibri" w:eastAsia="Calibri" w:hAnsi="Calibri"/>
      <w:b/>
      <w:bCs/>
      <w:color w:val="5B5CFF"/>
      <w:sz w:val="36"/>
      <w:szCs w:val="36"/>
    </w:rPr>
  </w:style>
  <w:style w:type="paragraph" w:styleId="Heading2">
    <w:name w:val="Heading 2"/>
    <w:basedOn w:val="Normal"/>
    <w:next w:val="Normal"/>
    <w:qFormat/>
    <w:pPr>
      <w:spacing w:after="180" w:before="280"/>
      <w:outlineLvl w:val="1"/>
    </w:pPr>
    <w:rPr>
      <w:rFonts w:ascii="Calibri" w:cs="Calibri" w:eastAsia="Calibri" w:hAnsi="Calibri"/>
      <w:b/>
      <w:bCs/>
      <w:color w:val="1A1A2E"/>
      <w:sz w:val="28"/>
      <w:szCs w:val="28"/>
    </w:rPr>
  </w:style>
  <w:style w:type="paragraph" w:styleId="Heading3">
    <w:name w:val="Heading 3"/>
    <w:basedOn w:val="Normal"/>
    <w:next w:val="Normal"/>
    <w:qFormat/>
    <w:pPr>
      <w:spacing w:after="120" w:before="200"/>
      <w:outlineLvl w:val="2"/>
    </w:pPr>
    <w:rPr>
      <w:rFonts w:ascii="Calibri" w:cs="Calibri" w:eastAsia="Calibri" w:hAnsi="Calibri"/>
      <w:b/>
      <w:bCs/>
      <w:color w:val="5B5CF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QoS Compliance Guide for African Telecom Operators</dc:title>
  <dc:creator>HiCellTek</dc:creator>
  <dc:description>Kenya CA &amp; Ghana NCA QoS compliance guide with KPI mapping</dc:description>
  <cp:lastModifiedBy>Un-named</cp:lastModifiedBy>
  <cp:revision>1</cp:revision>
  <dcterms:created xsi:type="dcterms:W3CDTF">2026-03-21T11:39:17.035Z</dcterms:created>
  <dcterms:modified xsi:type="dcterms:W3CDTF">2026-03-21T11:39:17.037Z</dcterms:modified>
</cp:coreProperties>
</file>

<file path=docProps/custom.xml><?xml version="1.0" encoding="utf-8"?>
<Properties xmlns="http://schemas.openxmlformats.org/officeDocument/2006/custom-properties" xmlns:vt="http://schemas.openxmlformats.org/officeDocument/2006/docPropsVTypes"/>
</file>